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992A" w14:textId="77777777" w:rsidR="00823A4C" w:rsidRDefault="00B877B9">
      <w:pPr>
        <w:pStyle w:val="Title"/>
      </w:pPr>
      <w:r>
        <w:t>South Wonston Village Design Statement (2025)</w:t>
      </w:r>
    </w:p>
    <w:p w14:paraId="7D25D751" w14:textId="77777777" w:rsidR="00823A4C" w:rsidRDefault="00B877B9">
      <w:pPr>
        <w:pStyle w:val="Heading1"/>
      </w:pPr>
      <w:r>
        <w:t>Section 7 – Demography &amp; Economy</w:t>
      </w:r>
    </w:p>
    <w:p w14:paraId="2FC23051" w14:textId="77777777" w:rsidR="00823A4C" w:rsidRDefault="00B877B9">
      <w:pPr>
        <w:pStyle w:val="Heading2"/>
      </w:pPr>
      <w:r>
        <w:t>7.1 Population and Household Profile</w:t>
      </w:r>
    </w:p>
    <w:p w14:paraId="47C470DC" w14:textId="3FD2955E" w:rsidR="00823A4C" w:rsidRDefault="00B877B9">
      <w:r>
        <w:t>South Wonston is a medium-sized rural village with a population of approximately 2,684 people</w:t>
      </w:r>
      <w:r w:rsidR="003B4027">
        <w:t xml:space="preserve"> (2021 Census, UK Office for National Statistics)</w:t>
      </w:r>
      <w:r>
        <w:t xml:space="preserve"> living in around 1,500 homes</w:t>
      </w:r>
      <w:r w:rsidR="003B4027">
        <w:t xml:space="preserve"> (source to be verified)</w:t>
      </w:r>
      <w:r>
        <w:t xml:space="preserve">. The population is broadly balanced by gender and includes a mix of age groups, giving the village a strong working-age core alongside a </w:t>
      </w:r>
      <w:proofErr w:type="gramStart"/>
      <w:r>
        <w:t>significant</w:t>
      </w:r>
      <w:proofErr w:type="gramEnd"/>
      <w:r>
        <w:t xml:space="preserve"> older population.</w:t>
      </w:r>
    </w:p>
    <w:p w14:paraId="562A952B" w14:textId="77777777" w:rsidR="00823A4C" w:rsidRDefault="00B877B9">
      <w:r>
        <w:t>The age structure reflects a substantial number of children and young people, a majority working-age population, and a growing cohort of older residents, including those aged over 80. Residents noted that official statistics may under-represent the number of children living in the parish.</w:t>
      </w:r>
    </w:p>
    <w:p w14:paraId="3AA96604" w14:textId="77777777" w:rsidR="00823A4C" w:rsidRDefault="00B877B9">
      <w:pPr>
        <w:pStyle w:val="Heading2"/>
      </w:pPr>
      <w:r>
        <w:t>7.2 Community Needs and Facilities</w:t>
      </w:r>
    </w:p>
    <w:p w14:paraId="0FBB87AA" w14:textId="77777777" w:rsidR="00823A4C" w:rsidRDefault="00B877B9">
      <w:r>
        <w:t>Public feedback highlighted the importance of ensuring that local facilities and services reflect the needs of a changing population.</w:t>
      </w:r>
    </w:p>
    <w:p w14:paraId="285040ED" w14:textId="77777777" w:rsidR="00823A4C" w:rsidRDefault="00B877B9">
      <w:pPr>
        <w:pStyle w:val="ListBullet"/>
      </w:pPr>
      <w:r>
        <w:t>the need for facilities and spaces suitable for different age groups,</w:t>
      </w:r>
    </w:p>
    <w:p w14:paraId="29D79878" w14:textId="77777777" w:rsidR="00823A4C" w:rsidRDefault="00B877B9">
      <w:pPr>
        <w:pStyle w:val="ListBullet"/>
      </w:pPr>
      <w:r>
        <w:t>opportunities for older residents to downsize within the village,</w:t>
      </w:r>
    </w:p>
    <w:p w14:paraId="4F00FB4D" w14:textId="77777777" w:rsidR="00823A4C" w:rsidRDefault="00B877B9">
      <w:pPr>
        <w:pStyle w:val="ListBullet"/>
      </w:pPr>
      <w:r>
        <w:t>provision of affordable housing for essential workers such as carers,</w:t>
      </w:r>
    </w:p>
    <w:p w14:paraId="73B58C4A" w14:textId="77777777" w:rsidR="00823A4C" w:rsidRDefault="00B877B9">
      <w:pPr>
        <w:pStyle w:val="ListBullet"/>
      </w:pPr>
      <w:r>
        <w:t>safe and accessible walking routes for all ages,</w:t>
      </w:r>
    </w:p>
    <w:p w14:paraId="16D3F27D" w14:textId="77777777" w:rsidR="00823A4C" w:rsidRDefault="00B877B9">
      <w:pPr>
        <w:pStyle w:val="ListBullet"/>
      </w:pPr>
      <w:r>
        <w:t>access to community transport, particularly for elderly residents and teenagers.</w:t>
      </w:r>
    </w:p>
    <w:p w14:paraId="5C0A65C6" w14:textId="60D2CDC6" w:rsidR="00823A4C" w:rsidRDefault="00B877B9">
      <w:r>
        <w:t>South Wonston benefits from a range of valued community facilities, including the Primary School, Village Hall, Recreation Ground, Post Office &amp; Stores, and The Drovers</w:t>
      </w:r>
      <w:r w:rsidR="003B4027">
        <w:t xml:space="preserve"> (pub or club?)</w:t>
      </w:r>
      <w:r>
        <w:t>. These facilities contribute significantly to village life and community cohesion.</w:t>
      </w:r>
    </w:p>
    <w:p w14:paraId="15EF37E5" w14:textId="77777777" w:rsidR="00823A4C" w:rsidRDefault="00B877B9">
      <w:pPr>
        <w:pStyle w:val="Heading2"/>
      </w:pPr>
      <w:r>
        <w:t>7.3 Employment Patterns and Local Economy</w:t>
      </w:r>
    </w:p>
    <w:p w14:paraId="1540134D" w14:textId="77777777" w:rsidR="00823A4C" w:rsidRDefault="00B877B9">
      <w:r>
        <w:t>South Wonston is primarily a commuter village, with most residents travelling out for work. In 2022, the majority of working residents commuted by car, with much smaller proportions using public transport, cycling or walking.</w:t>
      </w:r>
    </w:p>
    <w:p w14:paraId="563132E9" w14:textId="77777777" w:rsidR="00823A4C" w:rsidRDefault="00B877B9">
      <w:r>
        <w:t>Local employment opportunities are limited and largely focused on community and public services, local retail and hospitality, healthcare-related functions, small-scale manufacturing and specialist businesses, local trades, agriculture and equestrian activities, and civilian employment associated with Worthy Down.</w:t>
      </w:r>
    </w:p>
    <w:p w14:paraId="387AE87D" w14:textId="77777777" w:rsidR="00823A4C" w:rsidRDefault="00B877B9">
      <w:pPr>
        <w:pStyle w:val="Heading2"/>
      </w:pPr>
      <w:r>
        <w:lastRenderedPageBreak/>
        <w:t>7.4 Digital Connectivity and Home Working</w:t>
      </w:r>
    </w:p>
    <w:p w14:paraId="5E35E710" w14:textId="77777777" w:rsidR="00823A4C" w:rsidRDefault="00B877B9">
      <w:r>
        <w:t>Poor broadband and mobile phone coverage were repeatedly raised as constraints on the local economy. Residents reported unreliable broadband speeds, weak mobile signal across much of the parish, and difficulties working from home.</w:t>
      </w:r>
    </w:p>
    <w:p w14:paraId="54EE40FB" w14:textId="77777777" w:rsidR="00823A4C" w:rsidRDefault="00B877B9">
      <w:r>
        <w:t>Improving digital infrastructure was identified as a priority to support home working, reduce commuting, and strengthen local economic resilience.</w:t>
      </w:r>
    </w:p>
    <w:p w14:paraId="533FB3CD" w14:textId="77777777" w:rsidR="00823A4C" w:rsidRDefault="00B877B9">
      <w:pPr>
        <w:pStyle w:val="Heading2"/>
      </w:pPr>
      <w:r>
        <w:t>7.5 Infrastructure Capacity and Economic Constraints</w:t>
      </w:r>
    </w:p>
    <w:p w14:paraId="4DE19869" w14:textId="77777777" w:rsidR="00823A4C" w:rsidRDefault="00B877B9">
      <w:r>
        <w:t>Economic activity in South Wonston is constrained by infrastructure limitations, including narrow residential roads and weight-restricted routes, limited parking and road capacity, pressure on utilities such as water, drainage and electricity, and limited public transport provision.</w:t>
      </w:r>
    </w:p>
    <w:p w14:paraId="62A0E549" w14:textId="77777777" w:rsidR="00823A4C" w:rsidRDefault="00B877B9">
      <w:r>
        <w:t>Residents expressed concern that further growth without coordinated investment could place additional strain on infrastructure already perceived as close to capacity.</w:t>
      </w:r>
    </w:p>
    <w:p w14:paraId="518905FF" w14:textId="77777777" w:rsidR="00823A4C" w:rsidRDefault="00B877B9">
      <w:pPr>
        <w:pStyle w:val="Heading2"/>
      </w:pPr>
      <w:r>
        <w:t>7.6 Implications for Future Development</w:t>
      </w:r>
    </w:p>
    <w:p w14:paraId="10B7F7BC" w14:textId="77777777" w:rsidR="00823A4C" w:rsidRDefault="00B877B9">
      <w:r>
        <w:t>Demographic and economic evidence points towards the need for housing that supports downsizing and ageing in place, affordable homes for local and essential workers, development that does not increase long-distance commuting, improved digital infrastructure, and protection of community facilities and services.</w:t>
      </w:r>
    </w:p>
    <w:p w14:paraId="7CA79094" w14:textId="77777777" w:rsidR="00823A4C" w:rsidRDefault="00B877B9">
      <w:r>
        <w:t>Residents were clear that development should respond to local needs and not undermine the village’s balance or overwhelm its services and infrastructure.</w:t>
      </w:r>
    </w:p>
    <w:p w14:paraId="43628131" w14:textId="77777777" w:rsidR="00823A4C" w:rsidRDefault="00B877B9">
      <w:pPr>
        <w:pStyle w:val="Heading2"/>
      </w:pPr>
      <w:r>
        <w:t>7.7 Summary of Demography and Economy Principles</w:t>
      </w:r>
    </w:p>
    <w:p w14:paraId="3502FF5B" w14:textId="77777777" w:rsidR="00823A4C" w:rsidRDefault="00B877B9">
      <w:pPr>
        <w:pStyle w:val="ListBullet"/>
      </w:pPr>
      <w:r>
        <w:t>Plan for all age groups and life stages.</w:t>
      </w:r>
    </w:p>
    <w:p w14:paraId="4F0B15A2" w14:textId="77777777" w:rsidR="00823A4C" w:rsidRDefault="00B877B9">
      <w:pPr>
        <w:pStyle w:val="ListBullet"/>
      </w:pPr>
      <w:r>
        <w:t>Support community facilities and social infrastructure.</w:t>
      </w:r>
    </w:p>
    <w:p w14:paraId="7749BDF1" w14:textId="77777777" w:rsidR="00823A4C" w:rsidRDefault="00B877B9">
      <w:pPr>
        <w:pStyle w:val="ListBullet"/>
      </w:pPr>
      <w:r>
        <w:t>Encourage economic resilience through improved digital connectivity.</w:t>
      </w:r>
    </w:p>
    <w:p w14:paraId="6308BB70" w14:textId="77777777" w:rsidR="00823A4C" w:rsidRDefault="00B877B9">
      <w:pPr>
        <w:pStyle w:val="ListBullet"/>
      </w:pPr>
      <w:r>
        <w:t>Avoid development that increases unsustainable commuting patterns.</w:t>
      </w:r>
    </w:p>
    <w:p w14:paraId="610B9F50" w14:textId="77777777" w:rsidR="00823A4C" w:rsidRDefault="00B877B9">
      <w:pPr>
        <w:pStyle w:val="ListBullet"/>
      </w:pPr>
      <w:r>
        <w:t>Ensure infrastructure capacity is addressed alongside growth.</w:t>
      </w:r>
    </w:p>
    <w:p w14:paraId="15EBA1EC" w14:textId="77777777" w:rsidR="00823A4C" w:rsidRDefault="00B877B9">
      <w:pPr>
        <w:pStyle w:val="ListBullet"/>
      </w:pPr>
      <w:r>
        <w:t>Support small-scale local enterprise appropriate to a rural village.</w:t>
      </w:r>
    </w:p>
    <w:sectPr w:rsidR="00823A4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719983504">
    <w:abstractNumId w:val="8"/>
  </w:num>
  <w:num w:numId="2" w16cid:durableId="294066116">
    <w:abstractNumId w:val="6"/>
  </w:num>
  <w:num w:numId="3" w16cid:durableId="229972648">
    <w:abstractNumId w:val="5"/>
  </w:num>
  <w:num w:numId="4" w16cid:durableId="450242458">
    <w:abstractNumId w:val="4"/>
  </w:num>
  <w:num w:numId="5" w16cid:durableId="1706784165">
    <w:abstractNumId w:val="7"/>
  </w:num>
  <w:num w:numId="6" w16cid:durableId="536695200">
    <w:abstractNumId w:val="3"/>
  </w:num>
  <w:num w:numId="7" w16cid:durableId="1105929793">
    <w:abstractNumId w:val="2"/>
  </w:num>
  <w:num w:numId="8" w16cid:durableId="6565677">
    <w:abstractNumId w:val="1"/>
  </w:num>
  <w:num w:numId="9" w16cid:durableId="205083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B4027"/>
    <w:rsid w:val="00527468"/>
    <w:rsid w:val="00810E07"/>
    <w:rsid w:val="00823A4C"/>
    <w:rsid w:val="0094704F"/>
    <w:rsid w:val="00AA1D8D"/>
    <w:rsid w:val="00B47730"/>
    <w:rsid w:val="00B877B9"/>
    <w:rsid w:val="00CB0664"/>
    <w:rsid w:val="00F92E2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32E9C5"/>
  <w14:defaultImageDpi w14:val="300"/>
  <w15:docId w15:val="{01B2F473-CB11-4298-B28E-62813377F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3B4027"/>
    <w:pPr>
      <w:spacing w:after="0" w:line="240" w:lineRule="auto"/>
    </w:pPr>
  </w:style>
  <w:style w:type="character" w:styleId="CommentReference">
    <w:name w:val="annotation reference"/>
    <w:basedOn w:val="DefaultParagraphFont"/>
    <w:uiPriority w:val="99"/>
    <w:semiHidden/>
    <w:unhideWhenUsed/>
    <w:rsid w:val="003B4027"/>
    <w:rPr>
      <w:sz w:val="16"/>
      <w:szCs w:val="16"/>
    </w:rPr>
  </w:style>
  <w:style w:type="paragraph" w:styleId="CommentText">
    <w:name w:val="annotation text"/>
    <w:basedOn w:val="Normal"/>
    <w:link w:val="CommentTextChar"/>
    <w:uiPriority w:val="99"/>
    <w:semiHidden/>
    <w:unhideWhenUsed/>
    <w:rsid w:val="003B4027"/>
    <w:pPr>
      <w:spacing w:line="240" w:lineRule="auto"/>
    </w:pPr>
    <w:rPr>
      <w:sz w:val="20"/>
      <w:szCs w:val="20"/>
    </w:rPr>
  </w:style>
  <w:style w:type="character" w:customStyle="1" w:styleId="CommentTextChar">
    <w:name w:val="Comment Text Char"/>
    <w:basedOn w:val="DefaultParagraphFont"/>
    <w:link w:val="CommentText"/>
    <w:uiPriority w:val="99"/>
    <w:semiHidden/>
    <w:rsid w:val="003B4027"/>
    <w:rPr>
      <w:sz w:val="20"/>
      <w:szCs w:val="20"/>
    </w:rPr>
  </w:style>
  <w:style w:type="paragraph" w:styleId="CommentSubject">
    <w:name w:val="annotation subject"/>
    <w:basedOn w:val="CommentText"/>
    <w:next w:val="CommentText"/>
    <w:link w:val="CommentSubjectChar"/>
    <w:uiPriority w:val="99"/>
    <w:semiHidden/>
    <w:unhideWhenUsed/>
    <w:rsid w:val="003B4027"/>
    <w:rPr>
      <w:b/>
      <w:bCs/>
    </w:rPr>
  </w:style>
  <w:style w:type="character" w:customStyle="1" w:styleId="CommentSubjectChar">
    <w:name w:val="Comment Subject Char"/>
    <w:basedOn w:val="CommentTextChar"/>
    <w:link w:val="CommentSubject"/>
    <w:uiPriority w:val="99"/>
    <w:semiHidden/>
    <w:rsid w:val="003B40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3</cp:revision>
  <dcterms:created xsi:type="dcterms:W3CDTF">2026-01-10T14:05:00Z</dcterms:created>
  <dcterms:modified xsi:type="dcterms:W3CDTF">2026-02-09T08:53:00Z</dcterms:modified>
  <cp:category/>
</cp:coreProperties>
</file>