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F57F2" w14:textId="77777777" w:rsidR="00E04E0C" w:rsidRDefault="005B37AB">
      <w:pPr>
        <w:pStyle w:val="Title"/>
      </w:pPr>
      <w:r>
        <w:t>South Wonston Village Design Statement (2025)</w:t>
      </w:r>
    </w:p>
    <w:p w14:paraId="2D0DB6F5" w14:textId="77777777" w:rsidR="00E04E0C" w:rsidRDefault="005B37AB">
      <w:pPr>
        <w:pStyle w:val="Heading1"/>
      </w:pPr>
      <w:r>
        <w:t>Section 11 – Design Guidelines</w:t>
      </w:r>
    </w:p>
    <w:p w14:paraId="023098E5" w14:textId="77777777" w:rsidR="00E04E0C" w:rsidRDefault="005B37AB">
      <w:pPr>
        <w:pStyle w:val="Heading2"/>
      </w:pPr>
      <w:r>
        <w:t>11.1 Purpose of the Design Guidelines</w:t>
      </w:r>
    </w:p>
    <w:p w14:paraId="1D662C09" w14:textId="77777777" w:rsidR="00E04E0C" w:rsidRDefault="005B37AB">
      <w:r>
        <w:t>These Design Guidelines translate the character evidence set out in earlier sections of this Village Design Statement into practical guidance for anyone proposing development in South Wonston.</w:t>
      </w:r>
    </w:p>
    <w:p w14:paraId="73B41A81" w14:textId="77777777" w:rsidR="00E04E0C" w:rsidRDefault="005B37AB">
      <w:r>
        <w:t>They are intended to support good design at an early stage, help applicants understand local expectations, assist planners in assessing proposals consistently, and ensure that change reinforces, rather than erodes, local character.</w:t>
      </w:r>
    </w:p>
    <w:p w14:paraId="5F69B169" w14:textId="574E6CFC" w:rsidR="00E04E0C" w:rsidRDefault="005B37AB">
      <w:r>
        <w:t>The guidelines apply to new buildings, extensions, alterations, infill and redevelopment</w:t>
      </w:r>
      <w:r w:rsidR="006214A3">
        <w:t xml:space="preserve"> and </w:t>
      </w:r>
      <w:r w:rsidR="00CC541F">
        <w:t>will be linked to the relevant policies of the Local Plan and the National Planning Policy Framework.</w:t>
      </w:r>
    </w:p>
    <w:p w14:paraId="74C7EE5F" w14:textId="77777777" w:rsidR="00E04E0C" w:rsidRDefault="005B37AB">
      <w:pPr>
        <w:pStyle w:val="Heading2"/>
      </w:pPr>
      <w:r>
        <w:t>11.2 Landscape-Led Design</w:t>
      </w:r>
    </w:p>
    <w:p w14:paraId="35109B90" w14:textId="77777777" w:rsidR="00E04E0C" w:rsidRDefault="005B37AB">
      <w:pPr>
        <w:pStyle w:val="ListBullet"/>
      </w:pPr>
      <w:r>
        <w:t>Development should respond to the chalk downland setting, respecting landform, views and rural edges.</w:t>
      </w:r>
    </w:p>
    <w:p w14:paraId="592CB043" w14:textId="77777777" w:rsidR="00E04E0C" w:rsidRDefault="005B37AB">
      <w:pPr>
        <w:pStyle w:val="ListBullet"/>
      </w:pPr>
      <w:r>
        <w:t>Key views into and out of the village, including long views across surrounding countryside, should be protected.</w:t>
      </w:r>
    </w:p>
    <w:p w14:paraId="2272E916" w14:textId="77777777" w:rsidR="00E04E0C" w:rsidRDefault="005B37AB">
      <w:pPr>
        <w:pStyle w:val="ListBullet"/>
      </w:pPr>
      <w:r>
        <w:t>Green spaces, hedgerows, mature trees and verges should be retained and enhanced.</w:t>
      </w:r>
    </w:p>
    <w:p w14:paraId="2D64B64D" w14:textId="77777777" w:rsidR="00E04E0C" w:rsidRDefault="005B37AB">
      <w:pPr>
        <w:pStyle w:val="ListBullet"/>
      </w:pPr>
      <w:r>
        <w:t>Settlement edges should remain soft and rural, avoiding abrupt or suburban transitions.</w:t>
      </w:r>
    </w:p>
    <w:p w14:paraId="0BB2827D" w14:textId="77777777" w:rsidR="00E04E0C" w:rsidRDefault="005B37AB">
      <w:pPr>
        <w:pStyle w:val="Heading2"/>
      </w:pPr>
      <w:r>
        <w:t>11.3 Scale, Height and Massing</w:t>
      </w:r>
    </w:p>
    <w:p w14:paraId="5A44B912" w14:textId="77777777" w:rsidR="00E04E0C" w:rsidRDefault="005B37AB">
      <w:pPr>
        <w:pStyle w:val="ListBullet"/>
      </w:pPr>
      <w:r>
        <w:t>Buildings should reflect the prevailing scale and height of their immediate surroundings.</w:t>
      </w:r>
    </w:p>
    <w:p w14:paraId="197CC234" w14:textId="77777777" w:rsidR="00E04E0C" w:rsidRDefault="005B37AB">
      <w:pPr>
        <w:pStyle w:val="ListBullet"/>
      </w:pPr>
      <w:r>
        <w:t>Overly tall, bulky or dominant forms should be avoided.</w:t>
      </w:r>
    </w:p>
    <w:p w14:paraId="6233167C" w14:textId="77777777" w:rsidR="00E04E0C" w:rsidRDefault="005B37AB">
      <w:pPr>
        <w:pStyle w:val="ListBullet"/>
      </w:pPr>
      <w:r>
        <w:t>Rooflines should sit comfortably within the wider street or landscape context.</w:t>
      </w:r>
    </w:p>
    <w:p w14:paraId="5CF28BD4" w14:textId="77777777" w:rsidR="00E04E0C" w:rsidRDefault="005B37AB">
      <w:pPr>
        <w:pStyle w:val="ListBullet"/>
      </w:pPr>
      <w:r>
        <w:t>Spacing between buildings should be maintained to preserve openness and visual permeability.</w:t>
      </w:r>
    </w:p>
    <w:p w14:paraId="5FEB3CB9" w14:textId="77777777" w:rsidR="00E04E0C" w:rsidRDefault="005B37AB">
      <w:pPr>
        <w:pStyle w:val="Heading2"/>
      </w:pPr>
      <w:r>
        <w:t>11.4 Layout, Density and Plot Coverage</w:t>
      </w:r>
    </w:p>
    <w:p w14:paraId="5E8576F2" w14:textId="77777777" w:rsidR="00E04E0C" w:rsidRDefault="005B37AB">
      <w:pPr>
        <w:pStyle w:val="ListBullet"/>
      </w:pPr>
      <w:r>
        <w:t>Development should respect established plot patterns and building lines.</w:t>
      </w:r>
    </w:p>
    <w:p w14:paraId="413117C7" w14:textId="77777777" w:rsidR="00E04E0C" w:rsidRDefault="005B37AB">
      <w:pPr>
        <w:pStyle w:val="ListBullet"/>
      </w:pPr>
      <w:r>
        <w:t>High plot coverage that reduces green space and increases visual density should be avoided.</w:t>
      </w:r>
    </w:p>
    <w:p w14:paraId="1369FC6C" w14:textId="77777777" w:rsidR="00E04E0C" w:rsidRDefault="005B37AB">
      <w:pPr>
        <w:pStyle w:val="ListBullet"/>
      </w:pPr>
      <w:r>
        <w:t>Back-land development should be carefully assessed to prevent cumulative overdevelopment.</w:t>
      </w:r>
    </w:p>
    <w:p w14:paraId="64056784" w14:textId="77777777" w:rsidR="00E04E0C" w:rsidRDefault="005B37AB">
      <w:pPr>
        <w:pStyle w:val="ListBullet"/>
      </w:pPr>
      <w:r>
        <w:lastRenderedPageBreak/>
        <w:t>Layouts should prioritise legibility, access and integration with surrounding development.</w:t>
      </w:r>
    </w:p>
    <w:p w14:paraId="3E611A34" w14:textId="77777777" w:rsidR="00E04E0C" w:rsidRDefault="005B37AB">
      <w:pPr>
        <w:pStyle w:val="Heading2"/>
      </w:pPr>
      <w:r>
        <w:t>11.5 Materials and Architectural Approach</w:t>
      </w:r>
    </w:p>
    <w:p w14:paraId="2E372245" w14:textId="77777777" w:rsidR="00E04E0C" w:rsidRDefault="005B37AB">
      <w:pPr>
        <w:pStyle w:val="ListBullet"/>
      </w:pPr>
      <w:r>
        <w:t>A variety of architectural styles is acceptable where design quality and context are respected.</w:t>
      </w:r>
    </w:p>
    <w:p w14:paraId="142A81B1" w14:textId="77777777" w:rsidR="00E04E0C" w:rsidRDefault="005B37AB">
      <w:pPr>
        <w:pStyle w:val="ListBullet"/>
      </w:pPr>
      <w:r>
        <w:t>Materials should be appropriate to a rural downland village and may include brick, flint, stone, render, timber and slate.</w:t>
      </w:r>
    </w:p>
    <w:p w14:paraId="3DBE27DC" w14:textId="77777777" w:rsidR="00E04E0C" w:rsidRDefault="005B37AB">
      <w:pPr>
        <w:pStyle w:val="ListBullet"/>
      </w:pPr>
      <w:r>
        <w:t>External colours should be restrained and non-reflective.</w:t>
      </w:r>
    </w:p>
    <w:p w14:paraId="430C047B" w14:textId="77777777" w:rsidR="00E04E0C" w:rsidRDefault="005B37AB">
      <w:pPr>
        <w:pStyle w:val="ListBullet"/>
      </w:pPr>
      <w:r>
        <w:t>Contemporary design is supported where it responds positively to its setting rather than relying on generic templates.</w:t>
      </w:r>
    </w:p>
    <w:p w14:paraId="3F14A931" w14:textId="77777777" w:rsidR="00E04E0C" w:rsidRDefault="005B37AB">
      <w:pPr>
        <w:pStyle w:val="Heading2"/>
      </w:pPr>
      <w:r>
        <w:t>11.6 Extensions, Alterations and Roof Design</w:t>
      </w:r>
    </w:p>
    <w:p w14:paraId="16AB93B8" w14:textId="77777777" w:rsidR="00E04E0C" w:rsidRDefault="005B37AB">
      <w:pPr>
        <w:pStyle w:val="ListBullet"/>
      </w:pPr>
      <w:r>
        <w:t>Extensions should remain subordinate to the original building.</w:t>
      </w:r>
    </w:p>
    <w:p w14:paraId="4F4EC84B" w14:textId="77777777" w:rsidR="00E04E0C" w:rsidRDefault="005B37AB">
      <w:pPr>
        <w:pStyle w:val="ListBullet"/>
      </w:pPr>
      <w:r>
        <w:t>Roof alterations, including dormers, should be well proportioned and designed to complement the host building.</w:t>
      </w:r>
    </w:p>
    <w:p w14:paraId="1C66C5E8" w14:textId="77777777" w:rsidR="00E04E0C" w:rsidRDefault="005B37AB">
      <w:pPr>
        <w:pStyle w:val="ListBullet"/>
      </w:pPr>
      <w:r>
        <w:t>Front-facing dormers may be appropriate where they reflect traditional forms and enhance the building’s character.</w:t>
      </w:r>
    </w:p>
    <w:p w14:paraId="2DC314E6" w14:textId="77777777" w:rsidR="00E04E0C" w:rsidRDefault="005B37AB">
      <w:pPr>
        <w:pStyle w:val="ListBullet"/>
      </w:pPr>
      <w:r>
        <w:t>The cumulative impact of incremental change should be considered.</w:t>
      </w:r>
    </w:p>
    <w:p w14:paraId="30057733" w14:textId="77777777" w:rsidR="00E04E0C" w:rsidRDefault="005B37AB">
      <w:pPr>
        <w:pStyle w:val="Heading2"/>
      </w:pPr>
      <w:r>
        <w:t>11.7 Sustainability and Climate Resilience</w:t>
      </w:r>
    </w:p>
    <w:p w14:paraId="5CBAA97B" w14:textId="77777777" w:rsidR="00E04E0C" w:rsidRDefault="005B37AB">
      <w:pPr>
        <w:pStyle w:val="ListBullet"/>
      </w:pPr>
      <w:r>
        <w:t>Sustainable design measures should be integral to proposals, including energy-efficient construction, renewable energy technologies, water efficiency and rainwater harvesting, sustainable drainage systems, permeable surfaces and native planting.</w:t>
      </w:r>
    </w:p>
    <w:p w14:paraId="0004B83E" w14:textId="77777777" w:rsidR="00E04E0C" w:rsidRDefault="005B37AB">
      <w:pPr>
        <w:pStyle w:val="ListBullet"/>
      </w:pPr>
      <w:r>
        <w:t>Development should respond to climate risks such as flooding, heat and water scarcity.</w:t>
      </w:r>
    </w:p>
    <w:p w14:paraId="501CCCDB" w14:textId="77777777" w:rsidR="00E04E0C" w:rsidRDefault="005B37AB">
      <w:pPr>
        <w:pStyle w:val="ListBullet"/>
      </w:pPr>
      <w:r>
        <w:t>Biodiversity net gain should be demonstrated wherever possible.</w:t>
      </w:r>
    </w:p>
    <w:p w14:paraId="7BEBDF73" w14:textId="77777777" w:rsidR="00E04E0C" w:rsidRDefault="005B37AB">
      <w:pPr>
        <w:pStyle w:val="Heading2"/>
      </w:pPr>
      <w:r>
        <w:t>11.8 Movement, Access and Parking</w:t>
      </w:r>
    </w:p>
    <w:p w14:paraId="22E82A14" w14:textId="77777777" w:rsidR="00E04E0C" w:rsidRDefault="005B37AB">
      <w:pPr>
        <w:pStyle w:val="ListBullet"/>
      </w:pPr>
      <w:r>
        <w:t>Development should avoid increasing traffic on unsuitable routes.</w:t>
      </w:r>
    </w:p>
    <w:p w14:paraId="3FA2F8F0" w14:textId="77777777" w:rsidR="00E04E0C" w:rsidRDefault="005B37AB">
      <w:pPr>
        <w:pStyle w:val="ListBullet"/>
      </w:pPr>
      <w:r>
        <w:t>Safe access for pedestrians, cyclists and riders should be prioritised.</w:t>
      </w:r>
    </w:p>
    <w:p w14:paraId="6A34E773" w14:textId="77777777" w:rsidR="00E04E0C" w:rsidRDefault="005B37AB">
      <w:pPr>
        <w:pStyle w:val="ListBullet"/>
      </w:pPr>
      <w:r>
        <w:t>Parking provision should be adequate but not dominate streetscapes.</w:t>
      </w:r>
    </w:p>
    <w:p w14:paraId="0AA025EF" w14:textId="77777777" w:rsidR="00E04E0C" w:rsidRDefault="005B37AB">
      <w:pPr>
        <w:pStyle w:val="ListBullet"/>
      </w:pPr>
      <w:r>
        <w:t>Historic routes and rights of way should be protected and enhanced.</w:t>
      </w:r>
    </w:p>
    <w:p w14:paraId="3CDBFEAB" w14:textId="77777777" w:rsidR="00E04E0C" w:rsidRDefault="005B37AB">
      <w:pPr>
        <w:pStyle w:val="Heading2"/>
      </w:pPr>
      <w:r>
        <w:t>11.9 Heritage and Local Distinctiveness</w:t>
      </w:r>
    </w:p>
    <w:p w14:paraId="5EC5AC7A" w14:textId="77777777" w:rsidR="00E04E0C" w:rsidRDefault="005B37AB">
      <w:pPr>
        <w:pStyle w:val="ListBullet"/>
      </w:pPr>
      <w:r>
        <w:t>Proposals should respect historic routes, archaeological sensitivity and settlement evolution.</w:t>
      </w:r>
    </w:p>
    <w:p w14:paraId="6076B3A9" w14:textId="77777777" w:rsidR="00E04E0C" w:rsidRDefault="005B37AB">
      <w:pPr>
        <w:pStyle w:val="ListBullet"/>
      </w:pPr>
      <w:r>
        <w:t>Development should reinforce local distinctiveness rather than dilute it.</w:t>
      </w:r>
    </w:p>
    <w:p w14:paraId="44D75773" w14:textId="77777777" w:rsidR="00E04E0C" w:rsidRDefault="005B37AB">
      <w:pPr>
        <w:pStyle w:val="ListBullet"/>
      </w:pPr>
      <w:r>
        <w:t>Where heritage assets may be affected, appropriate assessment should be undertaken.</w:t>
      </w:r>
    </w:p>
    <w:p w14:paraId="1442B6B0" w14:textId="77777777" w:rsidR="00E04E0C" w:rsidRDefault="005B37AB">
      <w:pPr>
        <w:pStyle w:val="Heading2"/>
      </w:pPr>
      <w:r>
        <w:t>11.10 Infrastructure Capacity</w:t>
      </w:r>
    </w:p>
    <w:p w14:paraId="5E674498" w14:textId="77777777" w:rsidR="00E04E0C" w:rsidRDefault="005B37AB">
      <w:pPr>
        <w:pStyle w:val="ListBullet"/>
      </w:pPr>
      <w:r>
        <w:t>Proposals should consider cumulative impacts on water supply and drainage, electricity and digital infrastructure, school places and healthcare access, roads and parking.</w:t>
      </w:r>
    </w:p>
    <w:p w14:paraId="3ABF6013" w14:textId="77777777" w:rsidR="00E04E0C" w:rsidRDefault="005B37AB">
      <w:pPr>
        <w:pStyle w:val="ListBullet"/>
      </w:pPr>
      <w:r>
        <w:lastRenderedPageBreak/>
        <w:t>Development that exacerbates known infrastructure constraints without mitigation should be avoided.</w:t>
      </w:r>
    </w:p>
    <w:p w14:paraId="5AD57F1C" w14:textId="77777777" w:rsidR="00E04E0C" w:rsidRDefault="005B37AB">
      <w:pPr>
        <w:pStyle w:val="Heading2"/>
      </w:pPr>
      <w:r>
        <w:t>11.11 Summary Design Principles</w:t>
      </w:r>
    </w:p>
    <w:p w14:paraId="4B7A3694" w14:textId="77777777" w:rsidR="00E04E0C" w:rsidRDefault="005B37AB">
      <w:pPr>
        <w:pStyle w:val="ListBullet"/>
      </w:pPr>
      <w:r>
        <w:t>Be landscape-led.</w:t>
      </w:r>
    </w:p>
    <w:p w14:paraId="2A8CAAB4" w14:textId="77777777" w:rsidR="00E04E0C" w:rsidRDefault="005B37AB">
      <w:pPr>
        <w:pStyle w:val="ListBullet"/>
      </w:pPr>
      <w:r>
        <w:t>Respect scale, spacing and setting.</w:t>
      </w:r>
    </w:p>
    <w:p w14:paraId="717D742F" w14:textId="77777777" w:rsidR="00E04E0C" w:rsidRDefault="005B37AB">
      <w:pPr>
        <w:pStyle w:val="ListBullet"/>
      </w:pPr>
      <w:r>
        <w:t>Design for sustainability and climate resilience.</w:t>
      </w:r>
    </w:p>
    <w:p w14:paraId="74DF2323" w14:textId="77777777" w:rsidR="00E04E0C" w:rsidRDefault="005B37AB">
      <w:pPr>
        <w:pStyle w:val="ListBullet"/>
      </w:pPr>
      <w:r>
        <w:t>Protect green spaces and rural edges.</w:t>
      </w:r>
    </w:p>
    <w:p w14:paraId="2F53DD7E" w14:textId="77777777" w:rsidR="00E04E0C" w:rsidRDefault="005B37AB">
      <w:pPr>
        <w:pStyle w:val="ListBullet"/>
      </w:pPr>
      <w:r>
        <w:t>Support safe movement and access.</w:t>
      </w:r>
    </w:p>
    <w:p w14:paraId="3F64F447" w14:textId="77777777" w:rsidR="00E04E0C" w:rsidRDefault="005B37AB">
      <w:pPr>
        <w:pStyle w:val="ListBullet"/>
      </w:pPr>
      <w:r>
        <w:t>Reinforce local character and heritage.</w:t>
      </w:r>
    </w:p>
    <w:p w14:paraId="1EFC28E7" w14:textId="77777777" w:rsidR="00E04E0C" w:rsidRDefault="005B37AB">
      <w:pPr>
        <w:pStyle w:val="ListBullet"/>
      </w:pPr>
      <w:r>
        <w:t>Address infrastructure capacity.</w:t>
      </w:r>
    </w:p>
    <w:sectPr w:rsidR="00E04E0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690369">
    <w:abstractNumId w:val="8"/>
  </w:num>
  <w:num w:numId="2" w16cid:durableId="536504191">
    <w:abstractNumId w:val="6"/>
  </w:num>
  <w:num w:numId="3" w16cid:durableId="1780448743">
    <w:abstractNumId w:val="5"/>
  </w:num>
  <w:num w:numId="4" w16cid:durableId="616523537">
    <w:abstractNumId w:val="4"/>
  </w:num>
  <w:num w:numId="5" w16cid:durableId="1310281674">
    <w:abstractNumId w:val="7"/>
  </w:num>
  <w:num w:numId="6" w16cid:durableId="1832521727">
    <w:abstractNumId w:val="3"/>
  </w:num>
  <w:num w:numId="7" w16cid:durableId="829758122">
    <w:abstractNumId w:val="2"/>
  </w:num>
  <w:num w:numId="8" w16cid:durableId="1513371699">
    <w:abstractNumId w:val="1"/>
  </w:num>
  <w:num w:numId="9" w16cid:durableId="130659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D059B"/>
    <w:rsid w:val="004274BF"/>
    <w:rsid w:val="005B37AB"/>
    <w:rsid w:val="006214A3"/>
    <w:rsid w:val="00837A83"/>
    <w:rsid w:val="00924295"/>
    <w:rsid w:val="00AA1D8D"/>
    <w:rsid w:val="00B47730"/>
    <w:rsid w:val="00CB0664"/>
    <w:rsid w:val="00CC541F"/>
    <w:rsid w:val="00E04E0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E58CC0"/>
  <w14:defaultImageDpi w14:val="300"/>
  <w15:docId w15:val="{E378F443-1466-44CF-8141-5F1334C7B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CC541F"/>
    <w:pPr>
      <w:spacing w:after="0" w:line="240" w:lineRule="auto"/>
    </w:pPr>
  </w:style>
  <w:style w:type="character" w:styleId="CommentReference">
    <w:name w:val="annotation reference"/>
    <w:basedOn w:val="DefaultParagraphFont"/>
    <w:uiPriority w:val="99"/>
    <w:semiHidden/>
    <w:unhideWhenUsed/>
    <w:rsid w:val="00CC541F"/>
    <w:rPr>
      <w:sz w:val="16"/>
      <w:szCs w:val="16"/>
    </w:rPr>
  </w:style>
  <w:style w:type="paragraph" w:styleId="CommentText">
    <w:name w:val="annotation text"/>
    <w:basedOn w:val="Normal"/>
    <w:link w:val="CommentTextChar"/>
    <w:uiPriority w:val="99"/>
    <w:semiHidden/>
    <w:unhideWhenUsed/>
    <w:rsid w:val="00CC541F"/>
    <w:pPr>
      <w:spacing w:line="240" w:lineRule="auto"/>
    </w:pPr>
    <w:rPr>
      <w:sz w:val="20"/>
      <w:szCs w:val="20"/>
    </w:rPr>
  </w:style>
  <w:style w:type="character" w:customStyle="1" w:styleId="CommentTextChar">
    <w:name w:val="Comment Text Char"/>
    <w:basedOn w:val="DefaultParagraphFont"/>
    <w:link w:val="CommentText"/>
    <w:uiPriority w:val="99"/>
    <w:semiHidden/>
    <w:rsid w:val="00CC541F"/>
    <w:rPr>
      <w:sz w:val="20"/>
      <w:szCs w:val="20"/>
    </w:rPr>
  </w:style>
  <w:style w:type="paragraph" w:styleId="CommentSubject">
    <w:name w:val="annotation subject"/>
    <w:basedOn w:val="CommentText"/>
    <w:next w:val="CommentText"/>
    <w:link w:val="CommentSubjectChar"/>
    <w:uiPriority w:val="99"/>
    <w:semiHidden/>
    <w:unhideWhenUsed/>
    <w:rsid w:val="00CC541F"/>
    <w:rPr>
      <w:b/>
      <w:bCs/>
    </w:rPr>
  </w:style>
  <w:style w:type="character" w:customStyle="1" w:styleId="CommentSubjectChar">
    <w:name w:val="Comment Subject Char"/>
    <w:basedOn w:val="CommentTextChar"/>
    <w:link w:val="CommentSubject"/>
    <w:uiPriority w:val="99"/>
    <w:semiHidden/>
    <w:rsid w:val="00CC54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573</Words>
  <Characters>3768</Characters>
  <Application>Microsoft Office Word</Application>
  <DocSecurity>0</DocSecurity>
  <Lines>78</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2026-01-10T11:30:00Z</dcterms:created>
  <dcterms:modified xsi:type="dcterms:W3CDTF">2026-02-09T08:55:00Z</dcterms:modified>
  <cp:category/>
</cp:coreProperties>
</file>